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767266">
        <w:rPr>
          <w:sz w:val="28"/>
          <w:szCs w:val="28"/>
        </w:rPr>
        <w:t>02</w:t>
      </w:r>
      <w:r w:rsidRPr="00483B0E">
        <w:rPr>
          <w:sz w:val="28"/>
          <w:szCs w:val="28"/>
        </w:rPr>
        <w:t xml:space="preserve">                                                                                    </w:t>
      </w:r>
      <w:r w:rsidR="00227E42">
        <w:rPr>
          <w:sz w:val="28"/>
          <w:szCs w:val="28"/>
        </w:rPr>
        <w:t xml:space="preserve">09  января  2025 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proofErr w:type="spellStart"/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proofErr w:type="spellEnd"/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</w:t>
      </w:r>
      <w:r w:rsidR="00227E42">
        <w:rPr>
          <w:rFonts w:eastAsia="Lucida Sans Unicode" w:cs="Tahoma"/>
          <w:bCs/>
          <w:szCs w:val="28"/>
          <w:lang w:bidi="ru-RU"/>
        </w:rPr>
        <w:t>5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proofErr w:type="spellStart"/>
      <w:r w:rsidR="00B65D35" w:rsidRPr="00483B0E">
        <w:rPr>
          <w:szCs w:val="28"/>
        </w:rPr>
        <w:t>Исменецкая</w:t>
      </w:r>
      <w:proofErr w:type="spellEnd"/>
      <w:r w:rsidR="00B65D35" w:rsidRPr="00483B0E">
        <w:rPr>
          <w:szCs w:val="28"/>
        </w:rPr>
        <w:t xml:space="preserve">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proofErr w:type="spellStart"/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proofErr w:type="spellEnd"/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</w:t>
      </w:r>
      <w:r w:rsidR="00DB4691">
        <w:rPr>
          <w:rFonts w:eastAsia="Lucida Sans Unicode" w:cs="Tahoma"/>
          <w:bCs/>
          <w:szCs w:val="28"/>
          <w:lang w:bidi="ru-RU"/>
        </w:rPr>
        <w:t>4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 xml:space="preserve">Настоящее Постановление подлежит обнародованию и размещению на  официальном сайте Администрации </w:t>
      </w:r>
      <w:proofErr w:type="spellStart"/>
      <w:r w:rsidRPr="007F5CAC">
        <w:rPr>
          <w:szCs w:val="28"/>
        </w:rPr>
        <w:t>Звениговск</w:t>
      </w:r>
      <w:r>
        <w:rPr>
          <w:szCs w:val="28"/>
        </w:rPr>
        <w:t>ого</w:t>
      </w:r>
      <w:proofErr w:type="spellEnd"/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</w:t>
        </w:r>
        <w:proofErr w:type="spellStart"/>
        <w:r w:rsidRPr="007F5CAC">
          <w:rPr>
            <w:rStyle w:val="a3"/>
            <w:szCs w:val="28"/>
          </w:rPr>
          <w:t>admzven.ru</w:t>
        </w:r>
        <w:proofErr w:type="spellEnd"/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 xml:space="preserve">3. </w:t>
      </w:r>
      <w:proofErr w:type="gramStart"/>
      <w:r>
        <w:rPr>
          <w:rFonts w:eastAsia="Lucida Sans Unicode"/>
          <w:szCs w:val="28"/>
          <w:lang w:bidi="ru-RU"/>
        </w:rPr>
        <w:t>Контроль за</w:t>
      </w:r>
      <w:proofErr w:type="gramEnd"/>
      <w:r>
        <w:rPr>
          <w:rFonts w:eastAsia="Lucida Sans Unicode"/>
          <w:szCs w:val="28"/>
          <w:lang w:bidi="ru-RU"/>
        </w:rPr>
        <w:t xml:space="preserve">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</w:t>
      </w:r>
      <w:proofErr w:type="spellStart"/>
      <w:r w:rsidR="00177C81">
        <w:rPr>
          <w:sz w:val="28"/>
          <w:szCs w:val="28"/>
        </w:rPr>
        <w:t>Исменецкой</w:t>
      </w:r>
      <w:proofErr w:type="spellEnd"/>
      <w:r w:rsidR="00177C81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227E42" w:rsidRDefault="00227E42" w:rsidP="00564718">
      <w:pPr>
        <w:pStyle w:val="ab"/>
        <w:jc w:val="right"/>
        <w:rPr>
          <w:rFonts w:eastAsia="Arial CYR"/>
        </w:rPr>
        <w:sectPr w:rsidR="00227E42" w:rsidSect="00227E42">
          <w:pgSz w:w="11906" w:h="16838" w:code="9"/>
          <w:pgMar w:top="709" w:right="850" w:bottom="426" w:left="1701" w:header="709" w:footer="709" w:gutter="0"/>
          <w:cols w:space="708"/>
          <w:docGrid w:linePitch="381"/>
        </w:sect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lastRenderedPageBreak/>
        <w:t>Приложение</w:t>
      </w:r>
    </w:p>
    <w:p w:rsidR="00564718" w:rsidRDefault="00564718" w:rsidP="00227E42">
      <w:pPr>
        <w:pStyle w:val="ab"/>
        <w:jc w:val="right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227E42">
      <w:pPr>
        <w:pStyle w:val="ab"/>
        <w:jc w:val="right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proofErr w:type="spellStart"/>
      <w:r>
        <w:rPr>
          <w:rStyle w:val="FontStyle13"/>
          <w:b w:val="0"/>
        </w:rPr>
        <w:t>Исменецкой</w:t>
      </w:r>
      <w:proofErr w:type="spellEnd"/>
      <w:r>
        <w:rPr>
          <w:rStyle w:val="FontStyle13"/>
          <w:b w:val="0"/>
        </w:rPr>
        <w:t xml:space="preserve"> сельской </w:t>
      </w:r>
      <w:r>
        <w:rPr>
          <w:rFonts w:eastAsia="Arial CYR"/>
        </w:rPr>
        <w:t>администрации</w:t>
      </w:r>
    </w:p>
    <w:p w:rsidR="00564718" w:rsidRDefault="00FF5C45" w:rsidP="00227E42">
      <w:pPr>
        <w:pStyle w:val="ab"/>
        <w:jc w:val="right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</w:t>
      </w:r>
      <w:r w:rsidR="00767266">
        <w:rPr>
          <w:rFonts w:eastAsia="Arial CYR"/>
        </w:rPr>
        <w:t xml:space="preserve">2 </w:t>
      </w:r>
      <w:r w:rsidR="00564718">
        <w:rPr>
          <w:rFonts w:eastAsia="Arial CYR"/>
        </w:rPr>
        <w:t xml:space="preserve">от </w:t>
      </w:r>
      <w:r w:rsidR="00227E42">
        <w:rPr>
          <w:rFonts w:eastAsia="Arial CYR"/>
        </w:rPr>
        <w:t>09</w:t>
      </w:r>
      <w:r w:rsidR="00564718">
        <w:rPr>
          <w:rFonts w:eastAsia="Arial CYR"/>
        </w:rPr>
        <w:t xml:space="preserve">  января 202</w:t>
      </w:r>
      <w:r w:rsidR="00227E42">
        <w:rPr>
          <w:rFonts w:eastAsia="Arial CYR"/>
        </w:rPr>
        <w:t>5</w:t>
      </w:r>
      <w:r w:rsidR="00564718">
        <w:rPr>
          <w:rFonts w:eastAsia="Arial CYR"/>
        </w:rPr>
        <w:t xml:space="preserve"> года</w:t>
      </w:r>
    </w:p>
    <w:p w:rsidR="001B4676" w:rsidRDefault="001B4676">
      <w:pPr>
        <w:rPr>
          <w:sz w:val="28"/>
          <w:szCs w:val="28"/>
        </w:rPr>
      </w:pPr>
    </w:p>
    <w:p w:rsidR="00227E42" w:rsidRDefault="00227E42" w:rsidP="00227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противодействию коррупции</w:t>
      </w:r>
    </w:p>
    <w:p w:rsidR="00227E42" w:rsidRDefault="00227E42" w:rsidP="00227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Исменецком</w:t>
      </w:r>
      <w:proofErr w:type="spellEnd"/>
      <w:r>
        <w:rPr>
          <w:b/>
          <w:sz w:val="28"/>
          <w:szCs w:val="28"/>
        </w:rPr>
        <w:t xml:space="preserve"> сельском поселении  на 2025 год</w:t>
      </w:r>
    </w:p>
    <w:p w:rsidR="00227E42" w:rsidRDefault="00227E42" w:rsidP="00227E42">
      <w:pPr>
        <w:jc w:val="center"/>
        <w:rPr>
          <w:b/>
          <w:sz w:val="28"/>
          <w:szCs w:val="28"/>
        </w:rPr>
      </w:pPr>
    </w:p>
    <w:p w:rsidR="00227E42" w:rsidRDefault="00227E42" w:rsidP="00227E42">
      <w:pPr>
        <w:jc w:val="center"/>
        <w:rPr>
          <w:sz w:val="28"/>
          <w:szCs w:val="28"/>
        </w:rPr>
      </w:pPr>
    </w:p>
    <w:tbl>
      <w:tblPr>
        <w:tblW w:w="15593" w:type="dxa"/>
        <w:tblInd w:w="250" w:type="dxa"/>
        <w:tblLayout w:type="fixed"/>
        <w:tblLook w:val="0000"/>
      </w:tblPr>
      <w:tblGrid>
        <w:gridCol w:w="710"/>
        <w:gridCol w:w="5244"/>
        <w:gridCol w:w="142"/>
        <w:gridCol w:w="284"/>
        <w:gridCol w:w="3402"/>
        <w:gridCol w:w="1701"/>
        <w:gridCol w:w="283"/>
        <w:gridCol w:w="3827"/>
      </w:tblGrid>
      <w:tr w:rsidR="00227E42" w:rsidTr="00354C9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42" w:rsidRPr="00391FF4" w:rsidRDefault="00227E42" w:rsidP="00354C98">
            <w:pPr>
              <w:snapToGrid w:val="0"/>
              <w:jc w:val="center"/>
            </w:pPr>
            <w:r w:rsidRPr="00391FF4">
              <w:t xml:space="preserve">№ </w:t>
            </w:r>
            <w:proofErr w:type="spellStart"/>
            <w:proofErr w:type="gramStart"/>
            <w:r w:rsidRPr="00391FF4">
              <w:t>п</w:t>
            </w:r>
            <w:proofErr w:type="spellEnd"/>
            <w:proofErr w:type="gramEnd"/>
            <w:r w:rsidRPr="00391FF4">
              <w:t>/</w:t>
            </w:r>
            <w:proofErr w:type="spellStart"/>
            <w:r w:rsidRPr="00391FF4">
              <w:t>п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42" w:rsidRPr="00391FF4" w:rsidRDefault="00227E42" w:rsidP="00354C98">
            <w:pPr>
              <w:snapToGrid w:val="0"/>
              <w:jc w:val="center"/>
            </w:pPr>
            <w:r w:rsidRPr="00391FF4"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42" w:rsidRPr="00391FF4" w:rsidRDefault="00227E42" w:rsidP="00354C98">
            <w:pPr>
              <w:jc w:val="center"/>
            </w:pPr>
            <w:r w:rsidRPr="00391FF4"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42" w:rsidRPr="00391FF4" w:rsidRDefault="00227E42" w:rsidP="00354C98">
            <w:pPr>
              <w:jc w:val="center"/>
            </w:pPr>
            <w:r w:rsidRPr="00391FF4">
              <w:t>Сроки реализации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2" w:rsidRPr="00391FF4" w:rsidRDefault="00227E42" w:rsidP="00354C98">
            <w:pPr>
              <w:snapToGrid w:val="0"/>
              <w:jc w:val="center"/>
            </w:pPr>
            <w:r w:rsidRPr="00391FF4">
              <w:t>Ожидаемый результат</w:t>
            </w:r>
          </w:p>
        </w:tc>
      </w:tr>
      <w:tr w:rsidR="00227E42" w:rsidRPr="005B75D0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EE44FB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4883" w:type="dxa"/>
            <w:gridSpan w:val="7"/>
          </w:tcPr>
          <w:p w:rsidR="00227E42" w:rsidRPr="00EE44FB" w:rsidRDefault="00227E42" w:rsidP="00354C98">
            <w:pPr>
              <w:pStyle w:val="af4"/>
              <w:snapToGrid w:val="0"/>
              <w:jc w:val="center"/>
            </w:pPr>
            <w:r w:rsidRPr="00EE44FB">
              <w:rPr>
                <w:b/>
              </w:rPr>
              <w:t>Раздел 1. </w:t>
            </w:r>
            <w:r>
              <w:rPr>
                <w:b/>
              </w:rPr>
              <w:t xml:space="preserve">Совершенствование нормативного правового обеспечения деятельности по противодействию коррупции 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1</w:t>
            </w:r>
            <w:r>
              <w:t>.1</w:t>
            </w:r>
          </w:p>
        </w:tc>
        <w:tc>
          <w:tcPr>
            <w:tcW w:w="5670" w:type="dxa"/>
            <w:gridSpan w:val="3"/>
          </w:tcPr>
          <w:p w:rsidR="00227E42" w:rsidRPr="00571354" w:rsidRDefault="00227E42" w:rsidP="00354C98">
            <w:pPr>
              <w:jc w:val="both"/>
            </w:pPr>
            <w:r w:rsidRPr="00571354">
              <w:t>Внесение изменений в действующие муниципальные нормативно-правовые акты (принятие новых нормативно-правовых актов), направленных на противодействие коррупции в соответствии с изменениями в законодательстве</w:t>
            </w:r>
          </w:p>
        </w:tc>
        <w:tc>
          <w:tcPr>
            <w:tcW w:w="3402" w:type="dxa"/>
          </w:tcPr>
          <w:p w:rsidR="00227E42" w:rsidRDefault="00227E42" w:rsidP="00354C98">
            <w:pPr>
              <w:jc w:val="center"/>
            </w:pPr>
            <w:r w:rsidRPr="001141FA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 xml:space="preserve">постоянно 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Оптимизация правовой базы в сфере противодействия  коррупции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2</w:t>
            </w:r>
            <w:r>
              <w:t>.1</w:t>
            </w:r>
          </w:p>
        </w:tc>
        <w:tc>
          <w:tcPr>
            <w:tcW w:w="5670" w:type="dxa"/>
            <w:gridSpan w:val="3"/>
          </w:tcPr>
          <w:p w:rsidR="00227E42" w:rsidRPr="00571354" w:rsidRDefault="00227E42" w:rsidP="00354C98">
            <w:pPr>
              <w:snapToGrid w:val="0"/>
              <w:jc w:val="both"/>
            </w:pPr>
            <w:r w:rsidRPr="00571354">
              <w:t xml:space="preserve">Проведение </w:t>
            </w:r>
            <w:proofErr w:type="spellStart"/>
            <w:r w:rsidRPr="00571354">
              <w:t>антикоррупционной</w:t>
            </w:r>
            <w:proofErr w:type="spellEnd"/>
            <w:r w:rsidRPr="00571354">
              <w:t xml:space="preserve"> экспертизы нормативно-правовых актов:</w:t>
            </w:r>
          </w:p>
          <w:p w:rsidR="00227E42" w:rsidRPr="00571354" w:rsidRDefault="00227E42" w:rsidP="00354C98">
            <w:pPr>
              <w:snapToGrid w:val="0"/>
              <w:jc w:val="both"/>
            </w:pPr>
            <w:r w:rsidRPr="00571354">
              <w:t>а) размещение на сайте администрации нормативных правовых актов, проектов нормативно-правовых актов;</w:t>
            </w:r>
          </w:p>
          <w:p w:rsidR="00227E42" w:rsidRPr="00571354" w:rsidRDefault="00227E42" w:rsidP="00354C98">
            <w:pPr>
              <w:snapToGrid w:val="0"/>
              <w:jc w:val="both"/>
            </w:pPr>
            <w:r w:rsidRPr="00571354">
              <w:t xml:space="preserve">б) </w:t>
            </w:r>
            <w:proofErr w:type="spellStart"/>
            <w:r w:rsidRPr="00571354">
              <w:t>антикоррупционная</w:t>
            </w:r>
            <w:proofErr w:type="spellEnd"/>
            <w:r w:rsidRPr="00571354">
              <w:t xml:space="preserve"> экспертиза, проектов нормативно-правовых актов;</w:t>
            </w:r>
          </w:p>
          <w:p w:rsidR="00227E42" w:rsidRPr="00571354" w:rsidRDefault="00227E42" w:rsidP="00354C98">
            <w:pPr>
              <w:snapToGrid w:val="0"/>
              <w:jc w:val="both"/>
            </w:pPr>
            <w:r w:rsidRPr="00571354">
              <w:t xml:space="preserve">в) представление в прокуратуру </w:t>
            </w:r>
            <w:proofErr w:type="spellStart"/>
            <w:r>
              <w:t>Звениговского</w:t>
            </w:r>
            <w:proofErr w:type="spellEnd"/>
            <w:r w:rsidRPr="00571354">
              <w:t xml:space="preserve"> района проектов нормативно-правовых актов, прошедших </w:t>
            </w:r>
            <w:proofErr w:type="spellStart"/>
            <w:r w:rsidRPr="00571354">
              <w:t>антикоррупционную</w:t>
            </w:r>
            <w:proofErr w:type="spellEnd"/>
            <w:r w:rsidRPr="00571354">
              <w:t xml:space="preserve"> экспертизу в администрации для проверки на соответствие  действующему законодательству;</w:t>
            </w:r>
          </w:p>
          <w:p w:rsidR="00227E42" w:rsidRPr="00571354" w:rsidRDefault="00227E42" w:rsidP="00354C98">
            <w:pPr>
              <w:autoSpaceDN w:val="0"/>
              <w:adjustRightInd w:val="0"/>
              <w:jc w:val="both"/>
            </w:pPr>
            <w:r w:rsidRPr="00571354">
              <w:t xml:space="preserve">г) </w:t>
            </w:r>
            <w:proofErr w:type="spellStart"/>
            <w:r w:rsidRPr="00571354">
              <w:t>антикоррупционная</w:t>
            </w:r>
            <w:proofErr w:type="spellEnd"/>
            <w:r w:rsidRPr="00571354">
              <w:t xml:space="preserve"> экспертиза действующих </w:t>
            </w:r>
            <w:r w:rsidRPr="00571354">
              <w:lastRenderedPageBreak/>
              <w:t>нормативно-правовых актов администрации</w:t>
            </w:r>
          </w:p>
        </w:tc>
        <w:tc>
          <w:tcPr>
            <w:tcW w:w="3402" w:type="dxa"/>
          </w:tcPr>
          <w:p w:rsidR="00227E42" w:rsidRDefault="00227E42" w:rsidP="00354C98">
            <w:pPr>
              <w:jc w:val="center"/>
            </w:pPr>
            <w:r w:rsidRPr="001141FA">
              <w:lastRenderedPageBreak/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постоянно</w:t>
            </w:r>
          </w:p>
        </w:tc>
        <w:tc>
          <w:tcPr>
            <w:tcW w:w="3827" w:type="dxa"/>
          </w:tcPr>
          <w:p w:rsidR="00227E42" w:rsidRPr="00571354" w:rsidRDefault="00227E42" w:rsidP="00227E42">
            <w:pPr>
              <w:pStyle w:val="af4"/>
              <w:snapToGrid w:val="0"/>
              <w:jc w:val="center"/>
            </w:pPr>
            <w:r w:rsidRPr="00571354">
              <w:t xml:space="preserve">Возможность ознакомления неограниченного круга лиц с проектами НПА, разрабатываемыми в </w:t>
            </w:r>
            <w:r>
              <w:t xml:space="preserve">Исменецкой сельской </w:t>
            </w:r>
            <w:r w:rsidRPr="00571354">
              <w:t xml:space="preserve">администрации, представления на разрабатываемые проекты замечаний и заключений, предложений; снижение доли муниципальных НПА с </w:t>
            </w:r>
            <w:proofErr w:type="spellStart"/>
            <w:r w:rsidRPr="00571354">
              <w:t>коррупциогенными</w:t>
            </w:r>
            <w:proofErr w:type="spellEnd"/>
            <w:r w:rsidRPr="00571354">
              <w:t xml:space="preserve"> факторами; своевременное устранение </w:t>
            </w:r>
            <w:proofErr w:type="gramStart"/>
            <w:r w:rsidRPr="00571354">
              <w:t>в</w:t>
            </w:r>
            <w:proofErr w:type="gramEnd"/>
            <w:r w:rsidRPr="00571354">
              <w:t xml:space="preserve"> </w:t>
            </w:r>
            <w:r w:rsidRPr="00571354">
              <w:lastRenderedPageBreak/>
              <w:t xml:space="preserve">принятых НПА </w:t>
            </w:r>
            <w:proofErr w:type="spellStart"/>
            <w:r w:rsidRPr="00571354">
              <w:t>коррупциогенных</w:t>
            </w:r>
            <w:proofErr w:type="spellEnd"/>
            <w:r w:rsidRPr="00571354">
              <w:t xml:space="preserve"> факторов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lastRenderedPageBreak/>
              <w:t>3.1</w:t>
            </w:r>
          </w:p>
        </w:tc>
        <w:tc>
          <w:tcPr>
            <w:tcW w:w="5670" w:type="dxa"/>
            <w:gridSpan w:val="3"/>
          </w:tcPr>
          <w:p w:rsidR="00227E42" w:rsidRPr="00571354" w:rsidRDefault="00227E42" w:rsidP="00354C98">
            <w:pPr>
              <w:autoSpaceDE w:val="0"/>
              <w:autoSpaceDN w:val="0"/>
              <w:adjustRightInd w:val="0"/>
              <w:ind w:right="87"/>
              <w:jc w:val="both"/>
            </w:pPr>
            <w:r w:rsidRPr="00571354">
              <w:t xml:space="preserve">Представление проектов нормативно-правовых актов администрации для проверки на соответствие федеральному и региональному законодательству в прокуратуру </w:t>
            </w:r>
            <w:proofErr w:type="spellStart"/>
            <w:r>
              <w:t>Звениговского</w:t>
            </w:r>
            <w:proofErr w:type="spellEnd"/>
            <w:r w:rsidRPr="00571354">
              <w:t xml:space="preserve"> района</w:t>
            </w:r>
          </w:p>
        </w:tc>
        <w:tc>
          <w:tcPr>
            <w:tcW w:w="3402" w:type="dxa"/>
          </w:tcPr>
          <w:p w:rsidR="00227E42" w:rsidRDefault="00227E42" w:rsidP="00354C98">
            <w:pPr>
              <w:jc w:val="center"/>
            </w:pPr>
            <w:r w:rsidRPr="00A72E1F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за 7 дней до принятия НПА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 xml:space="preserve">Выявление и устранение в проектах муниципальных НПА </w:t>
            </w:r>
            <w:proofErr w:type="spellStart"/>
            <w:r w:rsidRPr="00571354">
              <w:t>коррупциогенных</w:t>
            </w:r>
            <w:proofErr w:type="spellEnd"/>
            <w:r w:rsidRPr="00571354">
              <w:t xml:space="preserve"> факторов на стадии разработки муниципальных НПА, снижение доли муниципальных НПА с </w:t>
            </w:r>
            <w:proofErr w:type="spellStart"/>
            <w:r w:rsidRPr="00571354">
              <w:t>коррупциогенными</w:t>
            </w:r>
            <w:proofErr w:type="spellEnd"/>
            <w:r w:rsidRPr="00571354">
              <w:t xml:space="preserve"> факторами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4.1</w:t>
            </w:r>
          </w:p>
        </w:tc>
        <w:tc>
          <w:tcPr>
            <w:tcW w:w="5670" w:type="dxa"/>
            <w:gridSpan w:val="3"/>
          </w:tcPr>
          <w:p w:rsidR="00227E42" w:rsidRPr="00571354" w:rsidRDefault="00227E42" w:rsidP="00354C98">
            <w:pPr>
              <w:autoSpaceDE w:val="0"/>
              <w:autoSpaceDN w:val="0"/>
              <w:adjustRightInd w:val="0"/>
              <w:ind w:right="87"/>
              <w:jc w:val="both"/>
            </w:pPr>
            <w:r w:rsidRPr="00571354">
              <w:t>Представление для размещения на сайте муниципального образования информации, посвященной противодействию коррупции в муниципальном образовании</w:t>
            </w:r>
          </w:p>
        </w:tc>
        <w:tc>
          <w:tcPr>
            <w:tcW w:w="3402" w:type="dxa"/>
          </w:tcPr>
          <w:p w:rsidR="00227E42" w:rsidRDefault="00227E42" w:rsidP="00354C98">
            <w:pPr>
              <w:jc w:val="center"/>
            </w:pPr>
            <w:r w:rsidRPr="00A72E1F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постоянно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Правовое просвещение граждан, муниципальных служащих о мерах, принимаемых в муниципальном образовании в целях борьбы с коррупцией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4883" w:type="dxa"/>
            <w:gridSpan w:val="7"/>
          </w:tcPr>
          <w:p w:rsidR="00227E42" w:rsidRPr="00571354" w:rsidRDefault="00227E42" w:rsidP="00354C98">
            <w:pPr>
              <w:pStyle w:val="af4"/>
              <w:snapToGrid w:val="0"/>
              <w:jc w:val="center"/>
              <w:rPr>
                <w:b/>
              </w:rPr>
            </w:pPr>
            <w:r w:rsidRPr="00571354">
              <w:rPr>
                <w:b/>
              </w:rPr>
              <w:t xml:space="preserve">Раздел 2. Внедрение </w:t>
            </w:r>
            <w:proofErr w:type="spellStart"/>
            <w:r w:rsidRPr="00571354">
              <w:rPr>
                <w:b/>
              </w:rPr>
              <w:t>антикоррупционных</w:t>
            </w:r>
            <w:proofErr w:type="spellEnd"/>
            <w:r w:rsidRPr="00571354">
              <w:rPr>
                <w:b/>
              </w:rPr>
              <w:t xml:space="preserve"> механизмов в систему кадровой работы органов местного самоуправления</w:t>
            </w:r>
          </w:p>
          <w:p w:rsidR="00227E42" w:rsidRPr="00571354" w:rsidRDefault="00227E42" w:rsidP="00354C98">
            <w:pPr>
              <w:pStyle w:val="af4"/>
              <w:snapToGrid w:val="0"/>
              <w:jc w:val="center"/>
              <w:rPr>
                <w:b/>
              </w:rPr>
            </w:pP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2.1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571354">
              <w:rPr>
                <w:rFonts w:eastAsia="Calibri"/>
              </w:rPr>
              <w:t>Кадровая работа в части, касающейся ведения личных дел лиц, замещающих 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828" w:type="dxa"/>
            <w:gridSpan w:val="3"/>
          </w:tcPr>
          <w:p w:rsidR="00227E42" w:rsidRDefault="00227E42" w:rsidP="00354C98">
            <w:pPr>
              <w:jc w:val="center"/>
            </w:pPr>
            <w:r w:rsidRPr="000928E4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>постоянно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jc w:val="center"/>
            </w:pPr>
            <w:r w:rsidRPr="00571354"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r w:rsidRPr="00571354">
              <w:t>Организация приема сведений о доходах, расходах, об имуществе и 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сведений.</w:t>
            </w:r>
          </w:p>
        </w:tc>
        <w:tc>
          <w:tcPr>
            <w:tcW w:w="3828" w:type="dxa"/>
            <w:gridSpan w:val="3"/>
          </w:tcPr>
          <w:p w:rsidR="00227E42" w:rsidRDefault="00227E42" w:rsidP="00354C98">
            <w:pPr>
              <w:jc w:val="center"/>
            </w:pPr>
            <w:r w:rsidRPr="000928E4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 xml:space="preserve">ежегодно, </w:t>
            </w:r>
          </w:p>
          <w:p w:rsidR="00227E42" w:rsidRPr="00571354" w:rsidRDefault="00227E42" w:rsidP="00354C98">
            <w:pPr>
              <w:jc w:val="center"/>
            </w:pPr>
            <w:r w:rsidRPr="00571354">
              <w:t>до 30 апреля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jc w:val="center"/>
            </w:pPr>
            <w:r w:rsidRPr="00571354">
              <w:t xml:space="preserve">Доля муниципальных служащих, представивших своевременно сведения о доходах, расходах, об имуществе и обязательствах имущественного характера, от общего числа муниципальных служащих, обязанных представлять такие сведения, замещающих на 31 декабря года, предшествующего </w:t>
            </w:r>
            <w:proofErr w:type="gramStart"/>
            <w:r w:rsidRPr="00571354">
              <w:t>отчетному</w:t>
            </w:r>
            <w:proofErr w:type="gramEnd"/>
            <w:r w:rsidRPr="00571354">
              <w:t>, должности, осуществление полномочий по которым влечет за собой обязанность представлять такие сведения, 100%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2.3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r w:rsidRPr="00571354">
              <w:t>Анализ сведений о доходах, о расходах, имуществе и обязательствах имущественного характера муниципальных служащих, их супругов и несовершеннолетних детей в рамках декларационной кампании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 xml:space="preserve">ежегодно, </w:t>
            </w:r>
          </w:p>
          <w:p w:rsidR="00227E42" w:rsidRPr="00571354" w:rsidRDefault="00227E42" w:rsidP="00354C98">
            <w:pPr>
              <w:jc w:val="center"/>
            </w:pPr>
            <w:r w:rsidRPr="00571354">
              <w:t>до 01 июня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jc w:val="center"/>
            </w:pPr>
            <w:r w:rsidRPr="00571354">
              <w:t>Доля прошедших анализ сведений о доходах, о расходах, имуществе и обязательствах имущественного характера муниципальных служащих, их супругов и несовершеннолетних детей в рамках декларационной кампании, 100%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2.4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proofErr w:type="gramStart"/>
            <w:r w:rsidRPr="00571354">
              <w:t xml:space="preserve">Обеспечение размещений сведений о доходах, расходах, об имуществе и обязательствах имущественного характера, представляемых муниципальными служащими, включенными в Перечень должностей муниципальной службы, при назначении на которые муниципальные служащие обязаны предоставлять сведения о доходах, расходах, об имуществе и обязательствах имущественного характера, а также сведения о доходах, расходах, об </w:t>
            </w:r>
            <w:r w:rsidRPr="00571354">
              <w:lastRenderedPageBreak/>
              <w:t xml:space="preserve">имуществе и обязательствах имущественного характера своих супруги (супруга) и несовершеннолетних детей на официальном сайте </w:t>
            </w:r>
            <w:proofErr w:type="gramEnd"/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lastRenderedPageBreak/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>в течение 14 рабочих дней со дня истечения срока, установленного для их подачи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jc w:val="center"/>
            </w:pPr>
            <w:r w:rsidRPr="00571354">
              <w:t>Возможность ознакомления неограниченного круга лиц со сведениями о доходах, расходах об имуществе и обязательствах имущественного характера, представляемых муниципальными служащими, включенными в Перечень должностей муниципальной службы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lastRenderedPageBreak/>
              <w:t>2.5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r w:rsidRPr="00571354">
              <w:t>Проведение анализа соблюдения запретов, ограничений и требований, установленных в целях противодействия коррупции, в том числе касающихся получения подарков отдельными категориями лиц, выполнения иной оплачиваемой работы, обязанности уведомлять об обращениях в целях склонения к совершению коррупционных правонарушений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  <w:r w:rsidRPr="00571354">
              <w:t xml:space="preserve"> 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Недопущение случаев проявления фактов коррупционной направленности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2.6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proofErr w:type="gramStart"/>
            <w:r w:rsidRPr="00571354">
              <w:t>Контроль за</w:t>
            </w:r>
            <w:proofErr w:type="gramEnd"/>
            <w:r w:rsidRPr="00571354">
              <w:t xml:space="preserve"> соблюдением, выявления случаев несоблюдения муниципальными служащими и лицами, замещающими должности муниципальной службы требований о предотвращении или об урегулировании конфликта интересов, с применением к лицам, нарушившим эти требования, мер юридической ответственности, предусмотренных законодательством РФ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постоянно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Снижение уровня правонарушений коррупционной направленности со стороны муниципальных служащих, предотвращение совершения правонарушений коррупционной направленности муниципальными служащими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2.7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  с правоохранительными органами  по вопросам предоставления информации о наличии коррупционных правонарушений в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  <w:proofErr w:type="spellEnd"/>
            <w:r w:rsidRPr="005713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 мере необходимости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Интеграция усилий органов местного самоуправления и правоохранительных органов в борьбе с коррупцией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2.8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</w:pPr>
            <w:r w:rsidRPr="00571354">
              <w:t xml:space="preserve">Проведение анализа поступивших жалоб и обращений граждан и организаций о фактах совершения коррупционных правонарушений в целях обнаружения фактов </w:t>
            </w:r>
            <w:r w:rsidRPr="00571354">
              <w:lastRenderedPageBreak/>
              <w:t>коррумпированности муниципальных служащих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lastRenderedPageBreak/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 xml:space="preserve">ежеквартально, до 10 числа месяца, следующего за </w:t>
            </w:r>
            <w:r w:rsidRPr="00571354">
              <w:lastRenderedPageBreak/>
              <w:t>отчетным периодом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jc w:val="center"/>
              <w:rPr>
                <w:color w:val="000000"/>
              </w:rPr>
            </w:pPr>
            <w:r w:rsidRPr="00571354">
              <w:rPr>
                <w:color w:val="000000"/>
              </w:rPr>
              <w:lastRenderedPageBreak/>
              <w:t xml:space="preserve">Выявление фактов коррупции, злоупотребления служебным положением и иных правонарушений, допущенных </w:t>
            </w:r>
            <w:r w:rsidRPr="00571354">
              <w:rPr>
                <w:color w:val="000000"/>
              </w:rPr>
              <w:lastRenderedPageBreak/>
              <w:t>должностными лицами.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lastRenderedPageBreak/>
              <w:t>2.9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jc w:val="both"/>
              <w:rPr>
                <w:b/>
              </w:rPr>
            </w:pPr>
            <w:r w:rsidRPr="00571354">
              <w:t>Организация проведения конкурсов на замещение вакантных должностей, аттестационных комиссий для муниципальных служащих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984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 мере необходимости</w:t>
            </w:r>
          </w:p>
        </w:tc>
        <w:tc>
          <w:tcPr>
            <w:tcW w:w="3827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rPr>
                <w:color w:val="000000"/>
              </w:rPr>
              <w:t>Тестирование по вопросам противодействия коррупции и урегулирования конфликта интересов на муниципальной службе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4883" w:type="dxa"/>
            <w:gridSpan w:val="7"/>
          </w:tcPr>
          <w:p w:rsidR="00227E42" w:rsidRPr="00571354" w:rsidRDefault="00227E42" w:rsidP="00354C98">
            <w:pPr>
              <w:pStyle w:val="af4"/>
              <w:snapToGrid w:val="0"/>
              <w:jc w:val="center"/>
              <w:rPr>
                <w:b/>
              </w:rPr>
            </w:pPr>
            <w:r w:rsidRPr="00571354">
              <w:rPr>
                <w:b/>
              </w:rPr>
              <w:t>Раздел 3. Мероприятия по совершенствованию управления в целях предупреждения коррупции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3.1</w:t>
            </w:r>
          </w:p>
        </w:tc>
        <w:tc>
          <w:tcPr>
            <w:tcW w:w="5386" w:type="dxa"/>
            <w:gridSpan w:val="2"/>
          </w:tcPr>
          <w:p w:rsidR="00227E42" w:rsidRPr="00571354" w:rsidRDefault="00227E42" w:rsidP="00354C98">
            <w:pPr>
              <w:jc w:val="both"/>
            </w:pPr>
            <w:r w:rsidRPr="00571354">
              <w:t>Организация и совершенствование предоставления муниципальных услуг гражданам и организациям.</w:t>
            </w:r>
          </w:p>
          <w:p w:rsidR="00227E42" w:rsidRPr="00571354" w:rsidRDefault="00227E42" w:rsidP="00354C98">
            <w:pPr>
              <w:jc w:val="both"/>
            </w:pPr>
            <w:r w:rsidRPr="00571354">
              <w:t>Приведение административных регламентов предоставления муниципальных услуг в соответствие с изменениями в законодательстве.</w:t>
            </w:r>
          </w:p>
        </w:tc>
        <w:tc>
          <w:tcPr>
            <w:tcW w:w="3686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  <w:r w:rsidRPr="00571354">
              <w:t xml:space="preserve">  </w:t>
            </w:r>
          </w:p>
        </w:tc>
        <w:tc>
          <w:tcPr>
            <w:tcW w:w="1701" w:type="dxa"/>
          </w:tcPr>
          <w:p w:rsidR="00227E42" w:rsidRPr="00571354" w:rsidRDefault="00227E42" w:rsidP="00354C98">
            <w:pPr>
              <w:jc w:val="center"/>
            </w:pPr>
            <w:r w:rsidRPr="00571354">
              <w:t>Постоянно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>Повышение доступности муниципальных услуг для граждан, снижение издержек граждан и организаций на преодоление административных барьеров.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3.2</w:t>
            </w:r>
          </w:p>
        </w:tc>
        <w:tc>
          <w:tcPr>
            <w:tcW w:w="5386" w:type="dxa"/>
            <w:gridSpan w:val="2"/>
          </w:tcPr>
          <w:p w:rsidR="00227E42" w:rsidRPr="00571354" w:rsidRDefault="00227E42" w:rsidP="00354C98">
            <w:pPr>
              <w:jc w:val="both"/>
            </w:pPr>
            <w:r w:rsidRPr="00571354">
              <w:t>Повышение эффективности противодействия коррупции при осуществлении закупок товаров, работ услуг  в соответствии с требованиями, установленных Федеральным законом от 05.04.2013 г.  № 44-ФЗ "О контрактной системе в сфере закупок товаров, работ, услуг для обеспечения государственных и муниципальных нужд"</w:t>
            </w:r>
          </w:p>
        </w:tc>
        <w:tc>
          <w:tcPr>
            <w:tcW w:w="3686" w:type="dxa"/>
            <w:gridSpan w:val="2"/>
          </w:tcPr>
          <w:p w:rsidR="00227E42" w:rsidRPr="00571354" w:rsidRDefault="00227E42" w:rsidP="00354C98">
            <w:pPr>
              <w:jc w:val="center"/>
            </w:pPr>
            <w:r w:rsidRPr="00571354">
              <w:t xml:space="preserve">Контролирующий орган </w:t>
            </w:r>
          </w:p>
          <w:p w:rsidR="00227E42" w:rsidRPr="00571354" w:rsidRDefault="00227E42" w:rsidP="00354C98">
            <w:pPr>
              <w:jc w:val="center"/>
            </w:pPr>
            <w:r w:rsidRPr="00571354">
              <w:t>в сфере закупок,</w:t>
            </w:r>
          </w:p>
          <w:p w:rsidR="00227E42" w:rsidRPr="00571354" w:rsidRDefault="00227E42" w:rsidP="00354C98">
            <w:pPr>
              <w:jc w:val="center"/>
            </w:pPr>
          </w:p>
          <w:p w:rsidR="00227E42" w:rsidRPr="00571354" w:rsidRDefault="00227E42" w:rsidP="00354C98">
            <w:pPr>
              <w:jc w:val="center"/>
            </w:pPr>
            <w:r w:rsidRPr="00571354">
              <w:t xml:space="preserve">  </w:t>
            </w:r>
            <w:r>
              <w:t>глава администрации</w:t>
            </w:r>
            <w:r w:rsidRPr="00571354">
              <w:t xml:space="preserve">  </w:t>
            </w:r>
          </w:p>
        </w:tc>
        <w:tc>
          <w:tcPr>
            <w:tcW w:w="1701" w:type="dxa"/>
          </w:tcPr>
          <w:p w:rsidR="00227E42" w:rsidRPr="00571354" w:rsidRDefault="00227E42" w:rsidP="00354C98">
            <w:pPr>
              <w:jc w:val="center"/>
            </w:pPr>
            <w:r w:rsidRPr="00571354">
              <w:t>постоянно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jc w:val="center"/>
            </w:pPr>
          </w:p>
          <w:p w:rsidR="00227E42" w:rsidRPr="00571354" w:rsidRDefault="00227E42" w:rsidP="00354C98">
            <w:pPr>
              <w:jc w:val="center"/>
            </w:pPr>
            <w:r w:rsidRPr="00571354">
              <w:t>Обеспечение  прозрачности системы в сфере закупок товаров, работ, услуг для муниципальных нужд.</w:t>
            </w:r>
          </w:p>
          <w:p w:rsidR="00227E42" w:rsidRPr="00571354" w:rsidRDefault="00227E42" w:rsidP="00354C98">
            <w:pPr>
              <w:jc w:val="center"/>
            </w:pPr>
            <w:r w:rsidRPr="00571354">
              <w:t>Недопущение случаев проявления фактов коррупционной направленности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</w:pPr>
            <w:r>
              <w:t>3.3</w:t>
            </w:r>
          </w:p>
        </w:tc>
        <w:tc>
          <w:tcPr>
            <w:tcW w:w="5386" w:type="dxa"/>
            <w:gridSpan w:val="2"/>
          </w:tcPr>
          <w:p w:rsidR="00227E42" w:rsidRPr="00571354" w:rsidRDefault="00227E42" w:rsidP="00354C98">
            <w:pPr>
              <w:ind w:right="86"/>
              <w:jc w:val="both"/>
            </w:pPr>
            <w:r w:rsidRPr="00571354">
              <w:t>Принятие мер по повышению эффективности общественных (публичных) слушаний, предусмотренных земельным и градостроительным законодательством Российской Федерации</w:t>
            </w:r>
          </w:p>
        </w:tc>
        <w:tc>
          <w:tcPr>
            <w:tcW w:w="3686" w:type="dxa"/>
            <w:gridSpan w:val="2"/>
          </w:tcPr>
          <w:p w:rsidR="00227E42" w:rsidRPr="00391FF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701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 мере необходимости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Открытость и прозрачность при проведении процедур. Повышение эффективности публичных слушаний.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4883" w:type="dxa"/>
            <w:gridSpan w:val="7"/>
          </w:tcPr>
          <w:p w:rsidR="00227E42" w:rsidRPr="00571354" w:rsidRDefault="00227E42" w:rsidP="00354C98">
            <w:pPr>
              <w:pStyle w:val="af4"/>
              <w:snapToGrid w:val="0"/>
              <w:jc w:val="center"/>
              <w:rPr>
                <w:b/>
              </w:rPr>
            </w:pPr>
            <w:r w:rsidRPr="00571354">
              <w:rPr>
                <w:b/>
              </w:rPr>
              <w:t>Раздел 4. Организация взаимодействия с общественными организациями, средствами массовой информации, населением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lastRenderedPageBreak/>
              <w:t>4.1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autoSpaceDN w:val="0"/>
              <w:adjustRightInd w:val="0"/>
              <w:jc w:val="both"/>
            </w:pPr>
            <w:r w:rsidRPr="00571354">
              <w:t>Обеспечение работы «горячей линии», телефона доверия, официального сайта, специальных ящиков для  приема сообщений о  фактах  коррупционных правонарушений.</w:t>
            </w:r>
          </w:p>
        </w:tc>
        <w:tc>
          <w:tcPr>
            <w:tcW w:w="3828" w:type="dxa"/>
            <w:gridSpan w:val="3"/>
          </w:tcPr>
          <w:p w:rsidR="00227E42" w:rsidRDefault="00227E42" w:rsidP="00354C98">
            <w:pPr>
              <w:pStyle w:val="af4"/>
              <w:snapToGrid w:val="0"/>
              <w:jc w:val="center"/>
            </w:pPr>
            <w:r>
              <w:t>Глава администрации</w:t>
            </w:r>
          </w:p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701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постоянно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jc w:val="center"/>
              <w:rPr>
                <w:color w:val="000000"/>
              </w:rPr>
            </w:pPr>
            <w:r w:rsidRPr="00571354">
              <w:rPr>
                <w:color w:val="000000"/>
              </w:rPr>
              <w:t>Пресечение и предупреждение коррупционных проявлений.</w:t>
            </w:r>
          </w:p>
          <w:p w:rsidR="00227E42" w:rsidRPr="00571354" w:rsidRDefault="00227E42" w:rsidP="00354C98">
            <w:pPr>
              <w:jc w:val="center"/>
              <w:rPr>
                <w:color w:val="000000"/>
              </w:rPr>
            </w:pPr>
            <w:r w:rsidRPr="00571354">
              <w:rPr>
                <w:color w:val="000000"/>
              </w:rPr>
              <w:t>Выявление фактов коррупции, злоупотребления служебным положением и иных правонарушений, допущенных должностными лицами.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60"/>
        </w:trPr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4.2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autoSpaceDN w:val="0"/>
              <w:adjustRightInd w:val="0"/>
              <w:jc w:val="both"/>
            </w:pPr>
            <w:r w:rsidRPr="00571354">
              <w:t xml:space="preserve">Актуализация  информации на официальном сайте  </w:t>
            </w:r>
            <w:proofErr w:type="spellStart"/>
            <w:r>
              <w:t>Звениговского</w:t>
            </w:r>
            <w:proofErr w:type="spellEnd"/>
            <w:r w:rsidRPr="00571354">
              <w:t xml:space="preserve"> муниципального района правовых актов      по  вопросам противодействия    коррупции</w:t>
            </w:r>
          </w:p>
        </w:tc>
        <w:tc>
          <w:tcPr>
            <w:tcW w:w="3828" w:type="dxa"/>
            <w:gridSpan w:val="3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701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постоянно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Открытость и доступность для граждан и организаций о деятельности органов местного самоуправления в сфере противодействия коррупции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</w:p>
        </w:tc>
        <w:tc>
          <w:tcPr>
            <w:tcW w:w="14883" w:type="dxa"/>
            <w:gridSpan w:val="7"/>
          </w:tcPr>
          <w:p w:rsidR="00227E42" w:rsidRPr="00571354" w:rsidRDefault="00227E42" w:rsidP="00354C98">
            <w:pPr>
              <w:pStyle w:val="af4"/>
              <w:snapToGrid w:val="0"/>
              <w:jc w:val="center"/>
              <w:rPr>
                <w:b/>
              </w:rPr>
            </w:pPr>
            <w:r w:rsidRPr="00571354">
              <w:rPr>
                <w:b/>
              </w:rPr>
              <w:t xml:space="preserve">Раздел 5. Повышение качества профессиональной подготовки муниципальных служащих </w:t>
            </w:r>
          </w:p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rPr>
                <w:b/>
              </w:rPr>
              <w:t>по вопросам противодействия коррупции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5.1</w:t>
            </w:r>
          </w:p>
        </w:tc>
        <w:tc>
          <w:tcPr>
            <w:tcW w:w="5244" w:type="dxa"/>
          </w:tcPr>
          <w:p w:rsidR="00227E42" w:rsidRPr="002914AC" w:rsidRDefault="00227E42" w:rsidP="00354C98">
            <w:r w:rsidRPr="002914AC">
              <w:t xml:space="preserve">Обучение муниципальных служащих, впервые </w:t>
            </w:r>
          </w:p>
          <w:p w:rsidR="00227E42" w:rsidRPr="002914AC" w:rsidRDefault="00227E42" w:rsidP="00354C98">
            <w:r w:rsidRPr="002914AC">
              <w:t xml:space="preserve">поступивших на муниципальную службу для замещения должностей, включенных в Перечень должностей, замещение которых связано </w:t>
            </w:r>
            <w:proofErr w:type="gramStart"/>
            <w:r w:rsidRPr="002914AC">
              <w:t>с</w:t>
            </w:r>
            <w:proofErr w:type="gramEnd"/>
            <w:r w:rsidRPr="002914AC">
              <w:t xml:space="preserve"> </w:t>
            </w:r>
          </w:p>
          <w:p w:rsidR="00227E42" w:rsidRPr="002914AC" w:rsidRDefault="00227E42" w:rsidP="00354C98">
            <w:r w:rsidRPr="002914AC">
              <w:t>коррупционными ри</w:t>
            </w:r>
            <w:r>
              <w:t xml:space="preserve">сками, </w:t>
            </w:r>
            <w:proofErr w:type="gramStart"/>
            <w:r w:rsidRPr="002914AC">
              <w:t>утвержденн</w:t>
            </w:r>
            <w:r>
              <w:t>ого</w:t>
            </w:r>
            <w:proofErr w:type="gramEnd"/>
          </w:p>
          <w:p w:rsidR="00227E42" w:rsidRPr="002914AC" w:rsidRDefault="00227E42" w:rsidP="00354C98">
            <w:r w:rsidRPr="002914AC">
              <w:t>нормативным правовым актом,</w:t>
            </w:r>
            <w:r>
              <w:t xml:space="preserve"> </w:t>
            </w:r>
            <w:r w:rsidRPr="002914AC">
              <w:t xml:space="preserve">по образовательным программам в области </w:t>
            </w:r>
          </w:p>
          <w:p w:rsidR="00227E42" w:rsidRPr="009968F8" w:rsidRDefault="00227E42" w:rsidP="00354C98">
            <w:pPr>
              <w:rPr>
                <w:color w:val="000000"/>
              </w:rPr>
            </w:pPr>
            <w:r w:rsidRPr="002914AC">
              <w:t>противодействия коррупции</w:t>
            </w:r>
          </w:p>
        </w:tc>
        <w:tc>
          <w:tcPr>
            <w:tcW w:w="3828" w:type="dxa"/>
            <w:gridSpan w:val="3"/>
          </w:tcPr>
          <w:p w:rsidR="00227E42" w:rsidRDefault="00227E42" w:rsidP="00354C98">
            <w:pPr>
              <w:jc w:val="center"/>
            </w:pPr>
            <w:r>
              <w:t>Глава администрации</w:t>
            </w:r>
          </w:p>
        </w:tc>
        <w:tc>
          <w:tcPr>
            <w:tcW w:w="1701" w:type="dxa"/>
          </w:tcPr>
          <w:p w:rsidR="00227E42" w:rsidRDefault="00227E42" w:rsidP="00354C98">
            <w:pPr>
              <w:jc w:val="both"/>
            </w:pPr>
            <w:r>
              <w:t>в течение года</w:t>
            </w:r>
          </w:p>
        </w:tc>
        <w:tc>
          <w:tcPr>
            <w:tcW w:w="4110" w:type="dxa"/>
            <w:gridSpan w:val="2"/>
          </w:tcPr>
          <w:p w:rsidR="00227E42" w:rsidRDefault="00227E42" w:rsidP="00354C98">
            <w:pPr>
              <w:jc w:val="both"/>
            </w:pPr>
            <w:r>
              <w:t xml:space="preserve">Предотвращение совершения муниципальными служащими, впервые поступивших на муниципальную службу, правонарушений коррупционной направленности </w:t>
            </w:r>
          </w:p>
        </w:tc>
      </w:tr>
      <w:tr w:rsidR="00227E42" w:rsidRPr="00571354" w:rsidTr="00354C9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8"/>
        </w:trPr>
        <w:tc>
          <w:tcPr>
            <w:tcW w:w="710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>
              <w:t>5.2</w:t>
            </w:r>
          </w:p>
        </w:tc>
        <w:tc>
          <w:tcPr>
            <w:tcW w:w="5244" w:type="dxa"/>
          </w:tcPr>
          <w:p w:rsidR="00227E42" w:rsidRPr="00571354" w:rsidRDefault="00227E42" w:rsidP="00354C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71354">
              <w:rPr>
                <w:rFonts w:eastAsia="Calibri"/>
              </w:rPr>
              <w:t xml:space="preserve">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227E42" w:rsidRPr="00571354" w:rsidRDefault="00227E42" w:rsidP="00354C98">
            <w:pPr>
              <w:autoSpaceDN w:val="0"/>
              <w:adjustRightInd w:val="0"/>
              <w:jc w:val="both"/>
            </w:pPr>
          </w:p>
        </w:tc>
        <w:tc>
          <w:tcPr>
            <w:tcW w:w="3828" w:type="dxa"/>
            <w:gridSpan w:val="3"/>
          </w:tcPr>
          <w:p w:rsidR="00227E42" w:rsidRPr="00391FF4" w:rsidRDefault="00227E42" w:rsidP="00354C98">
            <w:pPr>
              <w:pStyle w:val="af4"/>
              <w:snapToGrid w:val="0"/>
              <w:jc w:val="center"/>
            </w:pPr>
            <w:r>
              <w:t>Г</w:t>
            </w:r>
            <w:r w:rsidRPr="00391FF4">
              <w:t>лава администрации</w:t>
            </w:r>
          </w:p>
        </w:tc>
        <w:tc>
          <w:tcPr>
            <w:tcW w:w="1701" w:type="dxa"/>
          </w:tcPr>
          <w:p w:rsidR="00227E42" w:rsidRPr="00571354" w:rsidRDefault="00227E42" w:rsidP="00354C98">
            <w:pPr>
              <w:pStyle w:val="af4"/>
              <w:snapToGrid w:val="0"/>
              <w:jc w:val="center"/>
            </w:pPr>
            <w:r w:rsidRPr="00571354">
              <w:t>По мере необходимости</w:t>
            </w:r>
          </w:p>
        </w:tc>
        <w:tc>
          <w:tcPr>
            <w:tcW w:w="4110" w:type="dxa"/>
            <w:gridSpan w:val="2"/>
          </w:tcPr>
          <w:p w:rsidR="00227E42" w:rsidRPr="00571354" w:rsidRDefault="00227E42" w:rsidP="00354C98">
            <w:pPr>
              <w:pStyle w:val="af4"/>
              <w:snapToGrid w:val="0"/>
              <w:jc w:val="both"/>
            </w:pPr>
            <w:r w:rsidRPr="00571354">
              <w:t xml:space="preserve">Обновление знаний  и совершенствование навыков муниципальных служащих в области противодействия коррупции в связи с повышением требований к уровню их </w:t>
            </w:r>
            <w:r w:rsidRPr="00571354">
              <w:lastRenderedPageBreak/>
              <w:t>квалификации и необходимостью освоения ими новых способов решения профессиональных задач в этой сфере</w:t>
            </w:r>
          </w:p>
        </w:tc>
      </w:tr>
    </w:tbl>
    <w:p w:rsidR="00227E42" w:rsidRPr="00571354" w:rsidRDefault="00227E42" w:rsidP="00227E42">
      <w:pPr>
        <w:jc w:val="center"/>
        <w:rPr>
          <w:b/>
        </w:rPr>
      </w:pPr>
      <w:r w:rsidRPr="00571354">
        <w:rPr>
          <w:b/>
        </w:rPr>
        <w:lastRenderedPageBreak/>
        <w:t>6. Распоряжение муниципальной собственностью</w:t>
      </w:r>
    </w:p>
    <w:p w:rsidR="00227E42" w:rsidRPr="00571354" w:rsidRDefault="00227E42" w:rsidP="00227E42">
      <w:pPr>
        <w:jc w:val="center"/>
        <w:rPr>
          <w:b/>
        </w:rPr>
      </w:pPr>
    </w:p>
    <w:tbl>
      <w:tblPr>
        <w:tblW w:w="15593" w:type="dxa"/>
        <w:tblInd w:w="250" w:type="dxa"/>
        <w:tblLayout w:type="fixed"/>
        <w:tblLook w:val="0000"/>
      </w:tblPr>
      <w:tblGrid>
        <w:gridCol w:w="852"/>
        <w:gridCol w:w="5102"/>
        <w:gridCol w:w="3827"/>
        <w:gridCol w:w="1701"/>
        <w:gridCol w:w="4111"/>
      </w:tblGrid>
      <w:tr w:rsidR="00227E42" w:rsidRPr="00571354" w:rsidTr="00354C9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7E42" w:rsidRPr="00571354" w:rsidRDefault="00227E42" w:rsidP="00354C98">
            <w:pPr>
              <w:snapToGrid w:val="0"/>
              <w:jc w:val="center"/>
            </w:pPr>
            <w:r w:rsidRPr="00571354">
              <w:t>6.1.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snapToGrid w:val="0"/>
              <w:jc w:val="both"/>
            </w:pPr>
            <w:r w:rsidRPr="00571354">
              <w:t>Информирование граждан и предпринимателей через средства массовой информации и (или) Интернет:</w:t>
            </w:r>
          </w:p>
          <w:p w:rsidR="00227E42" w:rsidRPr="00571354" w:rsidRDefault="00227E42" w:rsidP="00354C98">
            <w:pPr>
              <w:jc w:val="both"/>
            </w:pPr>
            <w:r w:rsidRPr="00571354">
              <w:t>- о возможностях заключения договоров аренды муниципального недвижимого имущества, свободных помещениях, земельных участках;</w:t>
            </w:r>
          </w:p>
          <w:p w:rsidR="00227E42" w:rsidRPr="00571354" w:rsidRDefault="00227E42" w:rsidP="00354C98">
            <w:pPr>
              <w:jc w:val="both"/>
            </w:pPr>
            <w:r w:rsidRPr="00571354">
              <w:t>- о результатах приватизации муниципального имущества;</w:t>
            </w:r>
          </w:p>
          <w:p w:rsidR="00227E42" w:rsidRPr="00571354" w:rsidRDefault="00227E42" w:rsidP="00354C98">
            <w:pPr>
              <w:jc w:val="both"/>
            </w:pPr>
            <w:r w:rsidRPr="00571354">
              <w:t>- о предстоящих торгах по продаже, предоставлению в аренду муниципального имущества и результатах проведенных торгов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E42" w:rsidRPr="00571354" w:rsidRDefault="00227E42" w:rsidP="00354C98">
            <w:pPr>
              <w:snapToGrid w:val="0"/>
              <w:jc w:val="both"/>
            </w:pPr>
            <w:r w:rsidRPr="00571354">
              <w:t>Привлечение к участию в торгах по реализации муниципального имущества неограниченного круга лиц, индивидуальных предпринимателей, юридических лиц, повышение конкуренции среди заинтересованных лиц, открытость и прозрачность проводимых процедур при реализации муниципального имущества</w:t>
            </w:r>
          </w:p>
        </w:tc>
      </w:tr>
      <w:tr w:rsidR="00227E42" w:rsidRPr="00571354" w:rsidTr="00354C98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42" w:rsidRPr="00571354" w:rsidRDefault="00227E42" w:rsidP="00354C98">
            <w:pPr>
              <w:snapToGrid w:val="0"/>
              <w:jc w:val="center"/>
            </w:pPr>
            <w:r w:rsidRPr="00571354">
              <w:t>6.2.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snapToGrid w:val="0"/>
              <w:jc w:val="both"/>
            </w:pPr>
            <w:r w:rsidRPr="00571354">
              <w:t>Анализ результатов выделения земельных участков и предоставления имущества в аренду, находящегося в муниципальной собственности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jc w:val="center"/>
            </w:pPr>
            <w:r w:rsidRPr="00A84895">
              <w:t>Ответственные должностные лица органов местного самоуправления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E42" w:rsidRPr="00571354" w:rsidRDefault="00227E42" w:rsidP="00354C98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42" w:rsidRPr="00571354" w:rsidRDefault="00227E42" w:rsidP="00354C98">
            <w:pPr>
              <w:snapToGrid w:val="0"/>
              <w:jc w:val="both"/>
            </w:pPr>
            <w:r w:rsidRPr="00571354">
              <w:t>Выявление ошибок при предоставлении земельных участков и имущества, находящегося в муниципальной собственности, предотвращение и недопущение таких ошибок в будущем, анализ эффективности работы по предоставлению имущества в аренду</w:t>
            </w:r>
          </w:p>
        </w:tc>
      </w:tr>
    </w:tbl>
    <w:p w:rsidR="00227E42" w:rsidRDefault="00227E42" w:rsidP="00227E42">
      <w:pPr>
        <w:contextualSpacing/>
        <w:jc w:val="center"/>
        <w:rPr>
          <w:sz w:val="28"/>
          <w:szCs w:val="28"/>
        </w:rPr>
      </w:pPr>
    </w:p>
    <w:p w:rsidR="00227E42" w:rsidRDefault="00227E42" w:rsidP="00227E42">
      <w:pPr>
        <w:contextualSpacing/>
        <w:jc w:val="center"/>
        <w:rPr>
          <w:sz w:val="28"/>
          <w:szCs w:val="28"/>
        </w:rPr>
      </w:pPr>
    </w:p>
    <w:p w:rsidR="00227E42" w:rsidRDefault="00227E42" w:rsidP="00227E42">
      <w:pPr>
        <w:contextualSpacing/>
        <w:jc w:val="center"/>
        <w:rPr>
          <w:sz w:val="28"/>
          <w:szCs w:val="28"/>
        </w:rPr>
      </w:pPr>
    </w:p>
    <w:p w:rsidR="00227E42" w:rsidRDefault="00227E42" w:rsidP="00227E42">
      <w:pPr>
        <w:contextualSpacing/>
        <w:jc w:val="center"/>
        <w:rPr>
          <w:sz w:val="28"/>
          <w:szCs w:val="28"/>
        </w:rPr>
      </w:pPr>
    </w:p>
    <w:p w:rsidR="00227E42" w:rsidRPr="00967395" w:rsidRDefault="00227E42" w:rsidP="00227E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227E42" w:rsidRDefault="00227E42" w:rsidP="00227E42"/>
    <w:p w:rsidR="00B65D35" w:rsidRDefault="00B65D35" w:rsidP="00227E42">
      <w:pPr>
        <w:pStyle w:val="af"/>
        <w:spacing w:after="0" w:line="240" w:lineRule="auto"/>
        <w:jc w:val="center"/>
        <w:rPr>
          <w:sz w:val="28"/>
          <w:szCs w:val="28"/>
        </w:rPr>
      </w:pPr>
    </w:p>
    <w:sectPr w:rsidR="00B65D35" w:rsidSect="00227E42">
      <w:pgSz w:w="16838" w:h="11906" w:orient="landscape" w:code="9"/>
      <w:pgMar w:top="851" w:right="425" w:bottom="1701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37" w:rsidRDefault="00440237" w:rsidP="00B334BB">
      <w:r>
        <w:separator/>
      </w:r>
    </w:p>
  </w:endnote>
  <w:endnote w:type="continuationSeparator" w:id="0">
    <w:p w:rsidR="00440237" w:rsidRDefault="0044023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37" w:rsidRDefault="00440237" w:rsidP="00B334BB">
      <w:r>
        <w:separator/>
      </w:r>
    </w:p>
  </w:footnote>
  <w:footnote w:type="continuationSeparator" w:id="0">
    <w:p w:rsidR="00440237" w:rsidRDefault="00440237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40D0D"/>
    <w:rsid w:val="00054BBF"/>
    <w:rsid w:val="000A5AD5"/>
    <w:rsid w:val="000C4538"/>
    <w:rsid w:val="000C70C2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03BE2"/>
    <w:rsid w:val="00227E42"/>
    <w:rsid w:val="00233FDF"/>
    <w:rsid w:val="0023434A"/>
    <w:rsid w:val="00270EA2"/>
    <w:rsid w:val="0028234C"/>
    <w:rsid w:val="002923DC"/>
    <w:rsid w:val="002A244F"/>
    <w:rsid w:val="002B109F"/>
    <w:rsid w:val="002B4598"/>
    <w:rsid w:val="002D3AEC"/>
    <w:rsid w:val="002E5EB6"/>
    <w:rsid w:val="002E748E"/>
    <w:rsid w:val="00364C30"/>
    <w:rsid w:val="0041367C"/>
    <w:rsid w:val="00427F6C"/>
    <w:rsid w:val="00440237"/>
    <w:rsid w:val="0048115C"/>
    <w:rsid w:val="00483B0E"/>
    <w:rsid w:val="00485198"/>
    <w:rsid w:val="004A4672"/>
    <w:rsid w:val="004B32B4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02E1"/>
    <w:rsid w:val="006831CB"/>
    <w:rsid w:val="006846D4"/>
    <w:rsid w:val="00685863"/>
    <w:rsid w:val="006C0866"/>
    <w:rsid w:val="006D64E4"/>
    <w:rsid w:val="00710A58"/>
    <w:rsid w:val="0071259E"/>
    <w:rsid w:val="00716D99"/>
    <w:rsid w:val="0072122B"/>
    <w:rsid w:val="00721E92"/>
    <w:rsid w:val="0072310A"/>
    <w:rsid w:val="00740E71"/>
    <w:rsid w:val="00744FDA"/>
    <w:rsid w:val="00766E70"/>
    <w:rsid w:val="00767266"/>
    <w:rsid w:val="007A24CD"/>
    <w:rsid w:val="007A4F38"/>
    <w:rsid w:val="007C6F23"/>
    <w:rsid w:val="007E3D5B"/>
    <w:rsid w:val="007F04DD"/>
    <w:rsid w:val="00822179"/>
    <w:rsid w:val="00882ABF"/>
    <w:rsid w:val="008834DF"/>
    <w:rsid w:val="008A3D6B"/>
    <w:rsid w:val="009550E7"/>
    <w:rsid w:val="009A04A4"/>
    <w:rsid w:val="009A1E0C"/>
    <w:rsid w:val="00A571E8"/>
    <w:rsid w:val="00A72EFA"/>
    <w:rsid w:val="00A92B5D"/>
    <w:rsid w:val="00B12059"/>
    <w:rsid w:val="00B334BB"/>
    <w:rsid w:val="00B36AF7"/>
    <w:rsid w:val="00B50898"/>
    <w:rsid w:val="00B50EC8"/>
    <w:rsid w:val="00B52AE2"/>
    <w:rsid w:val="00B65D35"/>
    <w:rsid w:val="00BC1575"/>
    <w:rsid w:val="00C13A14"/>
    <w:rsid w:val="00C14B2D"/>
    <w:rsid w:val="00C3368A"/>
    <w:rsid w:val="00C409C9"/>
    <w:rsid w:val="00C46805"/>
    <w:rsid w:val="00CD4339"/>
    <w:rsid w:val="00D07D3D"/>
    <w:rsid w:val="00D202C8"/>
    <w:rsid w:val="00D225F5"/>
    <w:rsid w:val="00D26748"/>
    <w:rsid w:val="00D837A9"/>
    <w:rsid w:val="00DB4691"/>
    <w:rsid w:val="00DC50E0"/>
    <w:rsid w:val="00DD00EA"/>
    <w:rsid w:val="00E14D73"/>
    <w:rsid w:val="00E82194"/>
    <w:rsid w:val="00EB5DEE"/>
    <w:rsid w:val="00F17C11"/>
    <w:rsid w:val="00F43021"/>
    <w:rsid w:val="00F43B81"/>
    <w:rsid w:val="00F6605B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  <w:style w:type="paragraph" w:customStyle="1" w:styleId="ConsPlusCell">
    <w:name w:val="ConsPlusCell"/>
    <w:uiPriority w:val="99"/>
    <w:rsid w:val="00227E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2025-01-13T08:16:00Z</cp:lastPrinted>
  <dcterms:created xsi:type="dcterms:W3CDTF">2025-01-13T08:17:00Z</dcterms:created>
  <dcterms:modified xsi:type="dcterms:W3CDTF">2025-01-13T08:17:00Z</dcterms:modified>
</cp:coreProperties>
</file>